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4086C" w14:textId="77777777" w:rsidR="00CD1F90" w:rsidRDefault="00CD1F90" w:rsidP="00CD1F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Sunday School Teachers’ Scripture and Feast Day Weekly Memo</w:t>
      </w:r>
    </w:p>
    <w:p w14:paraId="0933D162" w14:textId="572EE872" w:rsidR="00CD1F90" w:rsidRDefault="00CD1F90" w:rsidP="00CD1F90">
      <w:pPr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Sunday</w:t>
      </w:r>
      <w:r w:rsidR="00483DFC">
        <w:rPr>
          <w:b/>
          <w:sz w:val="36"/>
          <w:szCs w:val="36"/>
        </w:rPr>
        <w:t xml:space="preserve"> of the Judge</w:t>
      </w:r>
    </w:p>
    <w:p w14:paraId="23F44E48" w14:textId="77777777" w:rsidR="00CD1F90" w:rsidRDefault="00CD1F90" w:rsidP="00CD1F90">
      <w:pPr>
        <w:ind w:left="720"/>
        <w:jc w:val="center"/>
        <w:rPr>
          <w:b/>
          <w:sz w:val="36"/>
          <w:szCs w:val="36"/>
        </w:rPr>
      </w:pPr>
    </w:p>
    <w:p w14:paraId="6E6BE40A" w14:textId="77777777" w:rsidR="00CD1F90" w:rsidRDefault="00CD1F90" w:rsidP="00CD1F90">
      <w:pPr>
        <w:rPr>
          <w:b/>
          <w:u w:val="single"/>
        </w:rPr>
      </w:pPr>
      <w:r>
        <w:rPr>
          <w:b/>
          <w:u w:val="single"/>
        </w:rPr>
        <w:t>From Today’s Readings</w:t>
      </w:r>
    </w:p>
    <w:p w14:paraId="3C184334" w14:textId="77777777" w:rsidR="00CD1F90" w:rsidRDefault="00CD1F90" w:rsidP="00CD1F90">
      <w:pPr>
        <w:autoSpaceDE w:val="0"/>
        <w:autoSpaceDN w:val="0"/>
        <w:adjustRightInd w:val="0"/>
        <w:rPr>
          <w:noProof/>
        </w:rPr>
      </w:pPr>
      <w:r>
        <w:rPr>
          <w:b/>
          <w:color w:val="000000"/>
        </w:rPr>
        <w:t>Luke 17:20-18:14</w:t>
      </w:r>
      <w:r>
        <w:rPr>
          <w:i/>
          <w:iCs/>
          <w:color w:val="000000"/>
        </w:rPr>
        <w:t> </w:t>
      </w:r>
      <w:r w:rsidR="002C761B">
        <w:rPr>
          <w:i/>
          <w:iCs/>
          <w:color w:val="000000"/>
        </w:rPr>
        <w:t xml:space="preserve"> Jesus</w:t>
      </w:r>
      <w:r>
        <w:rPr>
          <w:i/>
          <w:iCs/>
          <w:color w:val="000000"/>
        </w:rPr>
        <w:t xml:space="preserve"> descri</w:t>
      </w:r>
      <w:r w:rsidR="002C761B">
        <w:rPr>
          <w:i/>
          <w:iCs/>
          <w:color w:val="000000"/>
        </w:rPr>
        <w:t xml:space="preserve">bes the Second Coming as </w:t>
      </w:r>
      <w:r w:rsidR="005D098F">
        <w:rPr>
          <w:i/>
          <w:iCs/>
          <w:color w:val="000000"/>
        </w:rPr>
        <w:t>a time like any other in some ways, with people in pursuit of their usual pleasures; joys as well as suffering continue</w:t>
      </w:r>
      <w:r>
        <w:rPr>
          <w:i/>
          <w:iCs/>
          <w:color w:val="000000"/>
        </w:rPr>
        <w:t xml:space="preserve">. </w:t>
      </w:r>
      <w:r w:rsidR="008A77F0">
        <w:rPr>
          <w:i/>
          <w:iCs/>
          <w:color w:val="000000"/>
        </w:rPr>
        <w:t>Yet w</w:t>
      </w:r>
      <w:r>
        <w:rPr>
          <w:i/>
          <w:iCs/>
          <w:color w:val="000000"/>
        </w:rPr>
        <w:t xml:space="preserve">e learn that </w:t>
      </w:r>
      <w:r w:rsidR="005D098F">
        <w:rPr>
          <w:i/>
          <w:iCs/>
          <w:color w:val="000000"/>
        </w:rPr>
        <w:t>h</w:t>
      </w:r>
      <w:r>
        <w:rPr>
          <w:i/>
          <w:iCs/>
          <w:color w:val="000000"/>
        </w:rPr>
        <w:t xml:space="preserve">is Coming will be as bold as a bolt of lightning. </w:t>
      </w:r>
      <w:r w:rsidR="008A77F0">
        <w:rPr>
          <w:i/>
          <w:iCs/>
          <w:color w:val="000000"/>
        </w:rPr>
        <w:t>We</w:t>
      </w:r>
      <w:r>
        <w:rPr>
          <w:i/>
          <w:iCs/>
          <w:color w:val="000000"/>
        </w:rPr>
        <w:t xml:space="preserve"> cannot be prepared for it if we have not lived all along as God’s devoted children; if we haven’t, we will be reluctant to leave behind earthly preoccupations for heavenly ones. This description is immediately followed by The Parable of the Judg</w:t>
      </w:r>
      <w:r w:rsidR="008A77F0">
        <w:rPr>
          <w:i/>
          <w:iCs/>
          <w:color w:val="000000"/>
        </w:rPr>
        <w:t xml:space="preserve">e. </w:t>
      </w:r>
      <w:r>
        <w:rPr>
          <w:iCs/>
          <w:color w:val="000000"/>
        </w:rPr>
        <w:t>See below for more on this p</w:t>
      </w:r>
      <w:r w:rsidR="008A77F0">
        <w:rPr>
          <w:iCs/>
          <w:color w:val="000000"/>
        </w:rPr>
        <w:t>arable and reflection questions</w:t>
      </w:r>
      <w:r>
        <w:rPr>
          <w:iCs/>
          <w:color w:val="000000"/>
        </w:rPr>
        <w:t>.</w:t>
      </w:r>
      <w:r w:rsidR="008A77F0">
        <w:rPr>
          <w:iCs/>
          <w:color w:val="000000"/>
        </w:rPr>
        <w:t xml:space="preserve"> Discussion: How does Jesus’ example of Lot’s wife looking back clarify the meaning of verse 33: “whoever tries to keep their life will lose it and whoever loses their</w:t>
      </w:r>
      <w:r w:rsidR="005D098F">
        <w:rPr>
          <w:iCs/>
          <w:color w:val="000000"/>
        </w:rPr>
        <w:t xml:space="preserve"> life will preserve it</w:t>
      </w:r>
      <w:r w:rsidR="008A77F0">
        <w:rPr>
          <w:iCs/>
          <w:color w:val="000000"/>
        </w:rPr>
        <w:t>”</w:t>
      </w:r>
      <w:r w:rsidR="005D098F">
        <w:rPr>
          <w:iCs/>
          <w:color w:val="000000"/>
        </w:rPr>
        <w:t>?</w:t>
      </w:r>
    </w:p>
    <w:p w14:paraId="09D6E734" w14:textId="77777777" w:rsidR="00CD1F90" w:rsidRDefault="00CD1F90" w:rsidP="00CD1F90">
      <w:pPr>
        <w:rPr>
          <w:b/>
          <w:color w:val="000000"/>
        </w:rPr>
      </w:pPr>
    </w:p>
    <w:p w14:paraId="14706A0B" w14:textId="77777777" w:rsidR="00CD1F90" w:rsidRDefault="00CD1F90" w:rsidP="00CD1F90">
      <w:pPr>
        <w:rPr>
          <w:iCs/>
          <w:color w:val="000000"/>
        </w:rPr>
      </w:pPr>
      <w:r>
        <w:rPr>
          <w:b/>
          <w:color w:val="000000"/>
        </w:rPr>
        <w:t xml:space="preserve">Philippians 3:1-4:9 </w:t>
      </w:r>
      <w:r>
        <w:rPr>
          <w:i/>
          <w:iCs/>
          <w:color w:val="000000"/>
        </w:rPr>
        <w:t>St. Paul provides an inspiring picture of what Christian living is all about: a life focused on Christ (“our citizenship is in heaven”) and on what is true, noble, and admirable; it is imbued with joy. Above all, whatever life was like before, it is as worthless as rubbish (</w:t>
      </w:r>
      <w:proofErr w:type="gramStart"/>
      <w:r>
        <w:rPr>
          <w:i/>
          <w:iCs/>
          <w:color w:val="000000"/>
        </w:rPr>
        <w:t>lit:</w:t>
      </w:r>
      <w:proofErr w:type="gramEnd"/>
      <w:r w:rsidR="008A77F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dung;3:8) compared with knowing Jesus Christ. </w:t>
      </w:r>
      <w:r>
        <w:rPr>
          <w:iCs/>
          <w:color w:val="000000"/>
        </w:rPr>
        <w:t xml:space="preserve">Discussion: </w:t>
      </w:r>
      <w:r w:rsidR="008A77F0">
        <w:rPr>
          <w:iCs/>
          <w:color w:val="000000"/>
        </w:rPr>
        <w:t>What is St. Paul’s prescription for stress in 4:6-7?</w:t>
      </w:r>
    </w:p>
    <w:p w14:paraId="37A0EBA8" w14:textId="77777777" w:rsidR="008A77F0" w:rsidRDefault="008A77F0" w:rsidP="00CD1F90">
      <w:pPr>
        <w:rPr>
          <w:b/>
          <w:color w:val="000000"/>
        </w:rPr>
      </w:pPr>
    </w:p>
    <w:p w14:paraId="337D66B2" w14:textId="77777777" w:rsidR="005066A4" w:rsidRDefault="00CD1F90" w:rsidP="00CD1F90">
      <w:pPr>
        <w:rPr>
          <w:color w:val="000000"/>
        </w:rPr>
      </w:pPr>
      <w:r>
        <w:rPr>
          <w:b/>
          <w:color w:val="000000"/>
        </w:rPr>
        <w:t>Isaiah 65:8-25</w:t>
      </w:r>
      <w:r>
        <w:rPr>
          <w:color w:val="000000"/>
        </w:rPr>
        <w:t xml:space="preserve">  </w:t>
      </w:r>
      <w:r w:rsidR="005066A4" w:rsidRPr="005066A4">
        <w:rPr>
          <w:i/>
          <w:color w:val="000000"/>
        </w:rPr>
        <w:t>As the Jews begin their post-exile life,</w:t>
      </w:r>
      <w:r w:rsidR="005066A4">
        <w:rPr>
          <w:color w:val="000000"/>
        </w:rPr>
        <w:t xml:space="preserve"> </w:t>
      </w:r>
      <w:r>
        <w:rPr>
          <w:i/>
          <w:iCs/>
          <w:color w:val="000000"/>
        </w:rPr>
        <w:t>God promises salvation and renewal</w:t>
      </w:r>
      <w:r w:rsidR="005066A4">
        <w:rPr>
          <w:i/>
          <w:iCs/>
          <w:color w:val="000000"/>
        </w:rPr>
        <w:t xml:space="preserve"> to the faithful - </w:t>
      </w:r>
      <w:r>
        <w:rPr>
          <w:i/>
          <w:iCs/>
          <w:color w:val="000000"/>
        </w:rPr>
        <w:t>a world wher</w:t>
      </w:r>
      <w:r w:rsidR="005066A4">
        <w:rPr>
          <w:i/>
          <w:iCs/>
          <w:color w:val="000000"/>
        </w:rPr>
        <w:t>e there will no longer be tears</w:t>
      </w:r>
      <w:r>
        <w:rPr>
          <w:i/>
          <w:iCs/>
          <w:color w:val="000000"/>
        </w:rPr>
        <w:t xml:space="preserve"> and where the wolf and the lamb will peacefully co-exist. </w:t>
      </w:r>
      <w:r>
        <w:rPr>
          <w:color w:val="000000"/>
        </w:rPr>
        <w:t xml:space="preserve">Discussion: </w:t>
      </w:r>
      <w:r w:rsidR="005066A4">
        <w:rPr>
          <w:color w:val="000000"/>
        </w:rPr>
        <w:t>In v 13, God assures the faithful that they will eat and drink where others will hunger and thirst; in what way does this look ahead to Jesus?</w:t>
      </w:r>
      <w:r w:rsidR="005D098F">
        <w:rPr>
          <w:color w:val="000000"/>
        </w:rPr>
        <w:t xml:space="preserve"> (See Matthew 26:26-28 for his </w:t>
      </w:r>
      <w:r w:rsidR="005066A4">
        <w:rPr>
          <w:color w:val="000000"/>
        </w:rPr>
        <w:t>words at the Last Supper)</w:t>
      </w:r>
    </w:p>
    <w:p w14:paraId="6CD98C42" w14:textId="77777777" w:rsidR="005066A4" w:rsidRDefault="005066A4" w:rsidP="00CD1F90">
      <w:pPr>
        <w:rPr>
          <w:b/>
          <w:sz w:val="28"/>
          <w:szCs w:val="28"/>
          <w:u w:val="single"/>
        </w:rPr>
      </w:pPr>
    </w:p>
    <w:p w14:paraId="70E6B8C2" w14:textId="63CC612E" w:rsidR="00CD1F90" w:rsidRDefault="00CD1F90" w:rsidP="00CD1F90">
      <w:pPr>
        <w:rPr>
          <w:b/>
          <w:u w:val="single"/>
        </w:rPr>
      </w:pPr>
      <w:r>
        <w:rPr>
          <w:b/>
          <w:sz w:val="28"/>
          <w:szCs w:val="28"/>
          <w:u w:val="single"/>
        </w:rPr>
        <w:t>Sunday of the Judge</w:t>
      </w:r>
    </w:p>
    <w:p w14:paraId="5E4AE32F" w14:textId="77777777" w:rsidR="00CD1F90" w:rsidRPr="005D098F" w:rsidRDefault="00CD1F90" w:rsidP="00CD1F90">
      <w:pPr>
        <w:tabs>
          <w:tab w:val="left" w:pos="1080"/>
        </w:tabs>
        <w:rPr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8E88BE" wp14:editId="32B90810">
            <wp:simplePos x="0" y="0"/>
            <wp:positionH relativeFrom="column">
              <wp:posOffset>9525</wp:posOffset>
            </wp:positionH>
            <wp:positionV relativeFrom="paragraph">
              <wp:posOffset>70485</wp:posOffset>
            </wp:positionV>
            <wp:extent cx="2869565" cy="2152650"/>
            <wp:effectExtent l="0" t="0" r="6985" b="0"/>
            <wp:wrapTight wrapText="bothSides">
              <wp:wrapPolygon edited="0">
                <wp:start x="0" y="0"/>
                <wp:lineTo x="0" y="21409"/>
                <wp:lineTo x="21509" y="21409"/>
                <wp:lineTo x="21509" y="0"/>
                <wp:lineTo x="0" y="0"/>
              </wp:wrapPolygon>
            </wp:wrapTight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98F">
        <w:t xml:space="preserve">To underscore the importance of prayer, Jesus tells the parable </w:t>
      </w:r>
      <w:r w:rsidR="00137909">
        <w:t>of an unjust</w:t>
      </w:r>
      <w:r>
        <w:t xml:space="preserve"> judge who neglects the pleas of a poor widow until, tired of her persistence, he hands down a decision and sends her away. Just as Jesus used the example of a less-than-virtuous-steward</w:t>
      </w:r>
      <w:r w:rsidR="005D098F">
        <w:t xml:space="preserve"> (last Sunday’s Lenten lesson)</w:t>
      </w:r>
      <w:r>
        <w:t xml:space="preserve">, </w:t>
      </w:r>
      <w:r w:rsidR="005D098F">
        <w:t>h</w:t>
      </w:r>
      <w:r>
        <w:t xml:space="preserve">e now uses the example of an exasperated, self-centered judge. If </w:t>
      </w:r>
      <w:r>
        <w:rPr>
          <w:i/>
        </w:rPr>
        <w:t xml:space="preserve">he </w:t>
      </w:r>
      <w:r>
        <w:t>submits to the su</w:t>
      </w:r>
      <w:r w:rsidR="00137909">
        <w:t xml:space="preserve">pplication of the widow, won’t Almighty God </w:t>
      </w:r>
      <w:r>
        <w:t xml:space="preserve">hear and respond to our needs? Prayer is one of the essential ways we grow closer to God. When Jesus called </w:t>
      </w:r>
      <w:r w:rsidR="00137909">
        <w:t>h</w:t>
      </w:r>
      <w:r>
        <w:t xml:space="preserve">is disciples one by one, they didn’t ask why. They just knew that this Person had life’s answers. Reflection: </w:t>
      </w:r>
      <w:r>
        <w:rPr>
          <w:i/>
          <w:sz w:val="18"/>
          <w:szCs w:val="18"/>
        </w:rPr>
        <w:t xml:space="preserve"> </w:t>
      </w:r>
      <w:r w:rsidR="005D098F">
        <w:rPr>
          <w:i/>
        </w:rPr>
        <w:t xml:space="preserve">When do you pray? Only at certain times? When </w:t>
      </w:r>
      <w:proofErr w:type="gramStart"/>
      <w:r w:rsidR="005D098F">
        <w:rPr>
          <w:i/>
        </w:rPr>
        <w:t>you</w:t>
      </w:r>
      <w:proofErr w:type="gramEnd"/>
      <w:r w:rsidR="005D098F">
        <w:rPr>
          <w:i/>
        </w:rPr>
        <w:t xml:space="preserve"> feel angry or sad? Thankful? </w:t>
      </w:r>
      <w:r w:rsidR="00137909" w:rsidRPr="005D098F">
        <w:rPr>
          <w:i/>
        </w:rPr>
        <w:t>Memorize I</w:t>
      </w:r>
      <w:r w:rsidR="005D098F" w:rsidRPr="005D098F">
        <w:rPr>
          <w:i/>
        </w:rPr>
        <w:t xml:space="preserve"> </w:t>
      </w:r>
      <w:r w:rsidR="00137909">
        <w:rPr>
          <w:i/>
        </w:rPr>
        <w:t>Thessa</w:t>
      </w:r>
      <w:r w:rsidR="005D098F" w:rsidRPr="005D098F">
        <w:rPr>
          <w:i/>
        </w:rPr>
        <w:t>lonians 5:16-18 as a good mantra for prayerful living.</w:t>
      </w:r>
    </w:p>
    <w:p w14:paraId="79FA73E3" w14:textId="77777777" w:rsidR="00CD1F90" w:rsidRDefault="00CD1F90" w:rsidP="00CD1F90">
      <w:pPr>
        <w:tabs>
          <w:tab w:val="left" w:pos="1080"/>
        </w:tabs>
        <w:rPr>
          <w:i/>
        </w:rPr>
      </w:pPr>
    </w:p>
    <w:p w14:paraId="183CC84C" w14:textId="77777777" w:rsidR="00CD1F90" w:rsidRDefault="00CD1F90" w:rsidP="00CD1F90">
      <w:pPr>
        <w:jc w:val="right"/>
        <w:rPr>
          <w:noProof/>
        </w:rPr>
      </w:pPr>
      <w:r>
        <w:rPr>
          <w:noProof/>
        </w:rPr>
        <w:t xml:space="preserve">   </w:t>
      </w:r>
      <w:r>
        <w:rPr>
          <w:bCs/>
          <w:i/>
          <w:sz w:val="18"/>
          <w:szCs w:val="18"/>
        </w:rPr>
        <w:t>Department of Christian Education</w:t>
      </w:r>
    </w:p>
    <w:p w14:paraId="6EDCD6C3" w14:textId="77777777" w:rsidR="00CD1F90" w:rsidRDefault="00CD1F90" w:rsidP="00CD1F90">
      <w:pPr>
        <w:jc w:val="right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Diocese of the Armenian Church (Eastern)</w:t>
      </w:r>
    </w:p>
    <w:p w14:paraId="2927D7CC" w14:textId="77777777" w:rsidR="008545A1" w:rsidRDefault="00CD1F90"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  <w:t xml:space="preserve">     </w:t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  <w:t xml:space="preserve">               </w:t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hyperlink r:id="rId5" w:history="1">
        <w:r>
          <w:rPr>
            <w:rStyle w:val="Hyperlink"/>
            <w:bCs/>
            <w:i/>
            <w:sz w:val="18"/>
            <w:szCs w:val="18"/>
          </w:rPr>
          <w:t>elisea@armeniandiocese.org</w:t>
        </w:r>
      </w:hyperlink>
      <w:r>
        <w:rPr>
          <w:bCs/>
          <w:i/>
          <w:sz w:val="18"/>
          <w:szCs w:val="18"/>
        </w:rPr>
        <w:t xml:space="preserve">  </w:t>
      </w:r>
    </w:p>
    <w:sectPr w:rsidR="008545A1" w:rsidSect="00CD1F9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90"/>
    <w:rsid w:val="000640CF"/>
    <w:rsid w:val="00137909"/>
    <w:rsid w:val="002C761B"/>
    <w:rsid w:val="00483DFC"/>
    <w:rsid w:val="005066A4"/>
    <w:rsid w:val="005B34FD"/>
    <w:rsid w:val="005D098F"/>
    <w:rsid w:val="008545A1"/>
    <w:rsid w:val="008A77F0"/>
    <w:rsid w:val="009A508A"/>
    <w:rsid w:val="009B2CE3"/>
    <w:rsid w:val="00CD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D44E0"/>
  <w15:docId w15:val="{15B4D81F-5535-3C45-91BB-ED073F74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D1F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F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8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isea@armeniandioces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</dc:creator>
  <cp:lastModifiedBy>KZ Der Mugrdechian</cp:lastModifiedBy>
  <cp:revision>2</cp:revision>
  <dcterms:created xsi:type="dcterms:W3CDTF">2024-11-23T19:03:00Z</dcterms:created>
  <dcterms:modified xsi:type="dcterms:W3CDTF">2024-11-23T19:03:00Z</dcterms:modified>
</cp:coreProperties>
</file>