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3F3D9" w14:textId="77777777" w:rsidR="00FB2ECE" w:rsidRDefault="00FB2ECE" w:rsidP="00E203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Sunday School Teachers’ Scripture and Feast Day Weekly Memo</w:t>
      </w:r>
    </w:p>
    <w:p w14:paraId="56CEAAB1" w14:textId="3CE7BAC0" w:rsidR="00FB2ECE" w:rsidRDefault="007E3677" w:rsidP="00FB2E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Green Sunday</w:t>
      </w:r>
    </w:p>
    <w:p w14:paraId="5177207E" w14:textId="77777777" w:rsidR="00FB2ECE" w:rsidRDefault="00FB2ECE" w:rsidP="00FB2ECE">
      <w:pPr>
        <w:rPr>
          <w:b/>
          <w:sz w:val="28"/>
          <w:szCs w:val="28"/>
          <w:u w:val="single"/>
        </w:rPr>
      </w:pPr>
    </w:p>
    <w:p w14:paraId="62265398" w14:textId="77777777" w:rsidR="00FB2ECE" w:rsidRDefault="00FB2ECE" w:rsidP="00FB2E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From Today’s Readings</w:t>
      </w:r>
    </w:p>
    <w:p w14:paraId="7361D58B" w14:textId="77777777" w:rsidR="00FB2ECE" w:rsidRDefault="00FB2ECE" w:rsidP="00FB2ECE">
      <w:pPr>
        <w:rPr>
          <w:b/>
          <w:color w:val="000000"/>
        </w:rPr>
      </w:pPr>
      <w:r>
        <w:rPr>
          <w:b/>
          <w:color w:val="000000"/>
        </w:rPr>
        <w:t xml:space="preserve">John 2:23-3:12 </w:t>
      </w:r>
      <w:r>
        <w:rPr>
          <w:i/>
          <w:noProof/>
        </w:rPr>
        <w:t xml:space="preserve">Nicodemus was a Jewish leader and teacher who was impressed with the “signs and wonders” Jesus performed and wanted to know more. Jesus tells him of a second, even more </w:t>
      </w:r>
      <w:r w:rsidR="00F005A5">
        <w:rPr>
          <w:i/>
          <w:noProof/>
        </w:rPr>
        <w:t>life-changing birth</w:t>
      </w:r>
      <w:r>
        <w:rPr>
          <w:i/>
          <w:noProof/>
        </w:rPr>
        <w:t xml:space="preserve"> when we are born again “of water and the Spirit.” </w:t>
      </w:r>
      <w:r>
        <w:rPr>
          <w:color w:val="000000"/>
        </w:rPr>
        <w:t xml:space="preserve">Discussion: </w:t>
      </w:r>
      <w:r w:rsidR="00E203E1">
        <w:rPr>
          <w:color w:val="000000"/>
        </w:rPr>
        <w:t>The Armenian Church</w:t>
      </w:r>
      <w:r w:rsidR="00B17035">
        <w:rPr>
          <w:color w:val="000000"/>
        </w:rPr>
        <w:t xml:space="preserve"> </w:t>
      </w:r>
      <w:r w:rsidR="00E203E1">
        <w:rPr>
          <w:color w:val="000000"/>
        </w:rPr>
        <w:t>baptizes</w:t>
      </w:r>
      <w:r w:rsidR="00B17035">
        <w:rPr>
          <w:color w:val="000000"/>
        </w:rPr>
        <w:t xml:space="preserve"> infants </w:t>
      </w:r>
      <w:r w:rsidR="00E203E1">
        <w:rPr>
          <w:color w:val="000000"/>
        </w:rPr>
        <w:t>as</w:t>
      </w:r>
      <w:r w:rsidR="00B17035">
        <w:rPr>
          <w:color w:val="000000"/>
        </w:rPr>
        <w:t xml:space="preserve"> godparents, parents, and community </w:t>
      </w:r>
      <w:r w:rsidR="00E203E1">
        <w:rPr>
          <w:color w:val="000000"/>
        </w:rPr>
        <w:t xml:space="preserve">stand witness and </w:t>
      </w:r>
      <w:r w:rsidR="00B17035">
        <w:rPr>
          <w:color w:val="000000"/>
        </w:rPr>
        <w:t xml:space="preserve">pledge to nurture </w:t>
      </w:r>
      <w:r w:rsidR="00F005A5">
        <w:rPr>
          <w:color w:val="000000"/>
        </w:rPr>
        <w:t>the child’s</w:t>
      </w:r>
      <w:r w:rsidR="00B17035">
        <w:rPr>
          <w:color w:val="000000"/>
        </w:rPr>
        <w:t xml:space="preserve"> faith. We are “born again” at baptism, but what are ways to continue this spiritual birthing throughout our lives?</w:t>
      </w:r>
    </w:p>
    <w:p w14:paraId="0B4A21D9" w14:textId="77777777" w:rsidR="00FB2ECE" w:rsidRPr="00B17035" w:rsidRDefault="00FB2ECE" w:rsidP="00FB2ECE">
      <w:pPr>
        <w:rPr>
          <w:b/>
          <w:color w:val="000000"/>
        </w:rPr>
      </w:pPr>
      <w:r>
        <w:rPr>
          <w:b/>
          <w:color w:val="000000"/>
        </w:rPr>
        <w:t xml:space="preserve">Acts 9:23-31 </w:t>
      </w:r>
      <w:r>
        <w:rPr>
          <w:i/>
          <w:iCs/>
          <w:color w:val="000000"/>
        </w:rPr>
        <w:t xml:space="preserve">The newly converted Saul (St. Paul) was preaching the good news of Jesus Christ in the synagogues of Damascus. When his life was threatened, followers lowered him over a wall in a basket. Barnabus introduced and defended him to the apostles in Jerusalem who were understandably fearful (Saul was a former persecutor of Christians). The church experienced peace and great growth. </w:t>
      </w:r>
      <w:r>
        <w:rPr>
          <w:iCs/>
          <w:color w:val="000000"/>
        </w:rPr>
        <w:t xml:space="preserve">Discussion: </w:t>
      </w:r>
      <w:r w:rsidR="00B17035">
        <w:rPr>
          <w:iCs/>
          <w:color w:val="000000"/>
        </w:rPr>
        <w:t>The church is described as “living in the fear of God.” (v.31) The G</w:t>
      </w:r>
      <w:r w:rsidR="00F005A5">
        <w:rPr>
          <w:iCs/>
          <w:color w:val="000000"/>
        </w:rPr>
        <w:t>reek word “</w:t>
      </w:r>
      <w:proofErr w:type="spellStart"/>
      <w:r w:rsidR="00F005A5">
        <w:rPr>
          <w:iCs/>
          <w:color w:val="000000"/>
        </w:rPr>
        <w:t>phobos</w:t>
      </w:r>
      <w:proofErr w:type="spellEnd"/>
      <w:r w:rsidR="00F005A5">
        <w:rPr>
          <w:iCs/>
          <w:color w:val="000000"/>
        </w:rPr>
        <w:t xml:space="preserve">” denotes the </w:t>
      </w:r>
      <w:r w:rsidR="00B17035">
        <w:rPr>
          <w:iCs/>
          <w:color w:val="000000"/>
        </w:rPr>
        <w:t xml:space="preserve">reverential awe of those </w:t>
      </w:r>
      <w:r w:rsidR="00F005A5">
        <w:rPr>
          <w:iCs/>
          <w:color w:val="000000"/>
        </w:rPr>
        <w:t>“</w:t>
      </w:r>
      <w:r w:rsidR="00B17035">
        <w:rPr>
          <w:iCs/>
          <w:color w:val="000000"/>
        </w:rPr>
        <w:t xml:space="preserve">struck by the holiness of God.” Perhaps this simply means that these early faithful were living reverent lives. How seriously do </w:t>
      </w:r>
      <w:r w:rsidR="00B17035">
        <w:rPr>
          <w:i/>
          <w:iCs/>
          <w:color w:val="000000"/>
        </w:rPr>
        <w:t>you</w:t>
      </w:r>
      <w:r w:rsidR="00B17035">
        <w:rPr>
          <w:iCs/>
          <w:color w:val="000000"/>
        </w:rPr>
        <w:t xml:space="preserve"> take God’s authority and holiness? What are some </w:t>
      </w:r>
      <w:r w:rsidR="00F005A5">
        <w:rPr>
          <w:iCs/>
          <w:color w:val="000000"/>
        </w:rPr>
        <w:t>specific signs of this</w:t>
      </w:r>
      <w:r w:rsidR="00B17035">
        <w:rPr>
          <w:iCs/>
          <w:color w:val="000000"/>
        </w:rPr>
        <w:t>?</w:t>
      </w:r>
    </w:p>
    <w:p w14:paraId="3601281F" w14:textId="77777777" w:rsidR="00B17035" w:rsidRDefault="00FB2ECE" w:rsidP="00B17035">
      <w:pPr>
        <w:rPr>
          <w:b/>
          <w:i/>
          <w:u w:val="single"/>
        </w:rPr>
      </w:pPr>
      <w:r>
        <w:rPr>
          <w:b/>
          <w:color w:val="000000"/>
        </w:rPr>
        <w:t>1 Peter 2:1-10</w:t>
      </w:r>
      <w:r>
        <w:rPr>
          <w:color w:val="000000"/>
        </w:rPr>
        <w:t> </w:t>
      </w:r>
      <w:r>
        <w:rPr>
          <w:i/>
          <w:iCs/>
          <w:color w:val="000000"/>
        </w:rPr>
        <w:t xml:space="preserve">The apostle Peter described all believers as “living stones” who come to </w:t>
      </w:r>
      <w:r>
        <w:rPr>
          <w:i/>
          <w:iCs/>
          <w:color w:val="000000"/>
          <w:u w:val="single"/>
        </w:rPr>
        <w:t>the</w:t>
      </w:r>
      <w:r>
        <w:rPr>
          <w:i/>
          <w:iCs/>
          <w:color w:val="000000"/>
        </w:rPr>
        <w:t xml:space="preserve"> Living Stone, Christ, to be built into the spiritual house that is the Church. </w:t>
      </w:r>
      <w:r>
        <w:rPr>
          <w:color w:val="000000"/>
        </w:rPr>
        <w:t>Discussion: Jesus as the cornerstone of our lives – a beautiful image! Why do you think people “stumble” over this stone (v. 8)? (</w:t>
      </w:r>
      <w:r w:rsidR="00243B76">
        <w:rPr>
          <w:i/>
          <w:color w:val="000000"/>
        </w:rPr>
        <w:t>doubting Jesus’ authority over our lives; or p</w:t>
      </w:r>
      <w:r>
        <w:rPr>
          <w:i/>
          <w:color w:val="000000"/>
        </w:rPr>
        <w:t>erhaps we don’t want to give up the worldly things we value, not yet understanding they are worthless compared with knowing Christ – see Philippians 3:8)</w:t>
      </w:r>
    </w:p>
    <w:p w14:paraId="656D0021" w14:textId="77777777" w:rsidR="00B17035" w:rsidRDefault="00B17035" w:rsidP="00B17035">
      <w:pPr>
        <w:rPr>
          <w:b/>
          <w:i/>
          <w:u w:val="single"/>
        </w:rPr>
      </w:pPr>
    </w:p>
    <w:p w14:paraId="21AAEE26" w14:textId="353079D9" w:rsidR="00B33E83" w:rsidRDefault="00FB2ECE" w:rsidP="00B33E83">
      <w:pPr>
        <w:rPr>
          <w:b/>
          <w:i/>
          <w:u w:val="single"/>
        </w:rPr>
      </w:pPr>
      <w:r>
        <w:rPr>
          <w:color w:val="000000"/>
        </w:rPr>
        <w:t> </w:t>
      </w:r>
      <w:r>
        <w:rPr>
          <w:b/>
          <w:sz w:val="28"/>
          <w:szCs w:val="28"/>
          <w:u w:val="single"/>
        </w:rPr>
        <w:t>World Church (Green Sunday)</w:t>
      </w:r>
    </w:p>
    <w:p w14:paraId="357EDA75" w14:textId="77777777" w:rsidR="00FB2ECE" w:rsidRPr="00B33E83" w:rsidRDefault="00AC22CC" w:rsidP="00B33E83">
      <w:pPr>
        <w:rPr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60F6B1" wp14:editId="79E4B093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27336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525" y="21486"/>
                <wp:lineTo x="21525" y="0"/>
                <wp:lineTo x="0" y="0"/>
              </wp:wrapPolygon>
            </wp:wrapTight>
            <wp:docPr id="2" name="Picture 2" descr="Image result for Armenian churches -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enian churches - 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ECE">
        <w:t>The second Sunday after Easter is dedicated to the very first church in the world – established in Jerusalem by Christ. It was there in the Upper Room (</w:t>
      </w:r>
      <w:r w:rsidR="00FB2ECE">
        <w:rPr>
          <w:i/>
        </w:rPr>
        <w:t>Ver-</w:t>
      </w:r>
      <w:proofErr w:type="spellStart"/>
      <w:r w:rsidR="00FB2ECE">
        <w:rPr>
          <w:i/>
        </w:rPr>
        <w:t>na</w:t>
      </w:r>
      <w:proofErr w:type="spellEnd"/>
      <w:r w:rsidR="00FB2ECE">
        <w:rPr>
          <w:i/>
        </w:rPr>
        <w:t>-doon</w:t>
      </w:r>
      <w:r w:rsidR="00FB2ECE">
        <w:t xml:space="preserve">) that Jesus shared His Body and Blood in the bread and wine of the new Covenant with </w:t>
      </w:r>
      <w:r w:rsidR="00F005A5">
        <w:t>h</w:t>
      </w:r>
      <w:r w:rsidR="00FB2ECE">
        <w:t xml:space="preserve">is disciples and where they in turn gathered with other followers before and after the Resurrection and at Pentecost. It was this nucleus of Christ’s church that would one day become a church of millions. </w:t>
      </w:r>
      <w:r w:rsidR="00B17035">
        <w:t xml:space="preserve">Although the site </w:t>
      </w:r>
      <w:r w:rsidR="00E203E1">
        <w:t>remains a place of pilgrimage</w:t>
      </w:r>
      <w:r w:rsidR="00B17035">
        <w:t xml:space="preserve">, the </w:t>
      </w:r>
      <w:r w:rsidR="00E203E1">
        <w:t xml:space="preserve">original </w:t>
      </w:r>
      <w:r w:rsidR="00B17035">
        <w:t xml:space="preserve">building itself </w:t>
      </w:r>
      <w:r w:rsidR="00E203E1">
        <w:t>no longer exists</w:t>
      </w:r>
      <w:r w:rsidR="00B17035">
        <w:t xml:space="preserve">. In its place, we have a </w:t>
      </w:r>
      <w:r w:rsidR="00B17035" w:rsidRPr="00F64A5E">
        <w:rPr>
          <w:i/>
        </w:rPr>
        <w:t xml:space="preserve">world </w:t>
      </w:r>
      <w:r w:rsidR="00B17035">
        <w:t xml:space="preserve">church—the entire earth which the Christian Church has taken under its roof. </w:t>
      </w:r>
      <w:r w:rsidR="00FB2ECE">
        <w:t>The name “green” conveys the idea of new life in Christ’s resurrection as well as its glorious evidence in nature at this time of year.</w:t>
      </w:r>
    </w:p>
    <w:p w14:paraId="5E8F8C40" w14:textId="77777777" w:rsidR="00FB2ECE" w:rsidRPr="00E203E1" w:rsidRDefault="00FB2ECE" w:rsidP="00E203E1">
      <w:pPr>
        <w:shd w:val="clear" w:color="auto" w:fill="FFFFFF"/>
        <w:spacing w:before="100" w:beforeAutospacing="1"/>
        <w:rPr>
          <w:i/>
          <w:noProof/>
          <w:sz w:val="20"/>
          <w:szCs w:val="20"/>
        </w:rPr>
      </w:pPr>
    </w:p>
    <w:p w14:paraId="4404539C" w14:textId="77777777" w:rsidR="00FB2ECE" w:rsidRDefault="00FB2ECE" w:rsidP="00FB2ECE">
      <w:pPr>
        <w:ind w:left="6480"/>
        <w:jc w:val="right"/>
        <w:rPr>
          <w:noProof/>
        </w:rPr>
      </w:pPr>
      <w:r>
        <w:rPr>
          <w:bCs/>
          <w:i/>
          <w:sz w:val="18"/>
          <w:szCs w:val="18"/>
        </w:rPr>
        <w:t>Department of Christian Education</w:t>
      </w:r>
    </w:p>
    <w:p w14:paraId="750851C6" w14:textId="77777777" w:rsidR="00FB2ECE" w:rsidRDefault="00FB2ECE" w:rsidP="00FB2ECE">
      <w:pPr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>Diocese of the Armenian Church (Eastern)</w:t>
      </w:r>
    </w:p>
    <w:p w14:paraId="5B360B6B" w14:textId="77777777" w:rsidR="00A76A66" w:rsidRDefault="00FB2ECE" w:rsidP="00AC22CC">
      <w:pPr>
        <w:jc w:val="right"/>
      </w:pP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        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      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       </w:t>
      </w:r>
      <w:hyperlink r:id="rId5" w:history="1">
        <w:r>
          <w:rPr>
            <w:rStyle w:val="Hyperlink"/>
            <w:bCs/>
            <w:i/>
            <w:sz w:val="18"/>
            <w:szCs w:val="18"/>
          </w:rPr>
          <w:t>elisea@armeniandiocese.org</w:t>
        </w:r>
      </w:hyperlink>
      <w:r>
        <w:rPr>
          <w:bCs/>
          <w:i/>
          <w:sz w:val="18"/>
          <w:szCs w:val="18"/>
        </w:rPr>
        <w:t xml:space="preserve"> </w:t>
      </w:r>
    </w:p>
    <w:sectPr w:rsidR="00A76A66" w:rsidSect="00AC22C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CE"/>
    <w:rsid w:val="00243B76"/>
    <w:rsid w:val="00463464"/>
    <w:rsid w:val="007569A3"/>
    <w:rsid w:val="007E3677"/>
    <w:rsid w:val="00A76A66"/>
    <w:rsid w:val="00AC22CC"/>
    <w:rsid w:val="00B17035"/>
    <w:rsid w:val="00B33E83"/>
    <w:rsid w:val="00CB035B"/>
    <w:rsid w:val="00E203E1"/>
    <w:rsid w:val="00F005A5"/>
    <w:rsid w:val="00FB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3D78"/>
  <w15:docId w15:val="{EBA66676-9DDA-D849-8A51-8EC56175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B2E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E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ea@armeniandioces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</dc:creator>
  <cp:lastModifiedBy>KZ Der Mugrdechian</cp:lastModifiedBy>
  <cp:revision>2</cp:revision>
  <cp:lastPrinted>2018-04-09T14:44:00Z</cp:lastPrinted>
  <dcterms:created xsi:type="dcterms:W3CDTF">2024-11-23T19:10:00Z</dcterms:created>
  <dcterms:modified xsi:type="dcterms:W3CDTF">2024-11-23T19:10:00Z</dcterms:modified>
</cp:coreProperties>
</file>